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DAD3D" w14:textId="2BED7F0B" w:rsidR="00C37F8A" w:rsidRDefault="00C37F8A" w:rsidP="00C37F8A">
      <w:pPr>
        <w:snapToGrid w:val="0"/>
        <w:spacing w:line="360" w:lineRule="auto"/>
        <w:ind w:left="456" w:hanging="45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解答</w:t>
      </w:r>
      <w:r w:rsidR="00556C2C">
        <w:rPr>
          <w:rFonts w:hint="eastAsia"/>
          <w:sz w:val="24"/>
          <w:szCs w:val="24"/>
        </w:rPr>
        <w:t>四</w:t>
      </w:r>
    </w:p>
    <w:p w14:paraId="68E76719" w14:textId="7D200C70" w:rsidR="000B4030" w:rsidRDefault="000B4030" w:rsidP="00C37F8A">
      <w:pPr>
        <w:snapToGrid w:val="0"/>
        <w:spacing w:line="360" w:lineRule="auto"/>
        <w:ind w:left="456" w:hanging="456"/>
        <w:jc w:val="center"/>
        <w:rPr>
          <w:rFonts w:hint="eastAsia"/>
          <w:sz w:val="24"/>
          <w:szCs w:val="24"/>
        </w:rPr>
      </w:pPr>
      <w:r w:rsidRPr="000B4030">
        <w:rPr>
          <w:sz w:val="24"/>
          <w:szCs w:val="24"/>
        </w:rPr>
        <w:drawing>
          <wp:inline distT="0" distB="0" distL="0" distR="0" wp14:anchorId="518A1B00" wp14:editId="7AB77AEB">
            <wp:extent cx="5274310" cy="3550920"/>
            <wp:effectExtent l="0" t="0" r="0" b="5080"/>
            <wp:docPr id="32191818" name="Picture 1" descr="A math problem with equations and formula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91818" name="Picture 1" descr="A math problem with equations and formulas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5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BA9AB" w14:textId="77777777" w:rsidR="00BA476F" w:rsidRPr="005D3D2E" w:rsidRDefault="00AD785C" w:rsidP="00BA476F">
      <w:pPr>
        <w:pStyle w:val="GENQFIRST"/>
      </w:pPr>
      <w:r>
        <w:rPr>
          <w:rStyle w:val="GENQNUM"/>
        </w:rPr>
        <w:t>23.2</w:t>
      </w:r>
      <w:r>
        <w:rPr>
          <w:rStyle w:val="GENQNUM"/>
          <w:rFonts w:eastAsiaTheme="minorEastAsia" w:hint="eastAsia"/>
          <w:lang w:eastAsia="zh-TW"/>
        </w:rPr>
        <w:t>3</w:t>
      </w:r>
      <w:r w:rsidR="00BA476F" w:rsidRPr="00CC0F86">
        <w:rPr>
          <w:rStyle w:val="GENQNUM"/>
        </w:rPr>
        <w:t>.</w:t>
      </w:r>
      <w:r w:rsidR="00BA476F" w:rsidRPr="005D3D2E">
        <w:tab/>
      </w:r>
      <w:r w:rsidR="00BA476F" w:rsidRPr="00CC0F86">
        <w:rPr>
          <w:rStyle w:val="BOLD"/>
        </w:rPr>
        <w:t xml:space="preserve">(a) </w:t>
      </w:r>
      <w:r w:rsidR="00BA476F" w:rsidRPr="00CC0F86">
        <w:rPr>
          <w:rStyle w:val="GENQTTL"/>
        </w:rPr>
        <w:t>Identify</w:t>
      </w:r>
      <w:r w:rsidR="00BA476F" w:rsidRPr="005D3D2E">
        <w:t xml:space="preserve"> and </w:t>
      </w:r>
      <w:r w:rsidR="00BA476F" w:rsidRPr="00CC0F86">
        <w:rPr>
          <w:rStyle w:val="GENQTTL"/>
        </w:rPr>
        <w:t>Set Up</w:t>
      </w:r>
      <w:r w:rsidR="00BA476F" w:rsidRPr="00416ACC">
        <w:rPr>
          <w:b/>
        </w:rPr>
        <w:t>:</w:t>
      </w:r>
      <w:r w:rsidR="00BA476F" w:rsidRPr="001236FE">
        <w:rPr>
          <w:rStyle w:val="GENQTTL"/>
        </w:rPr>
        <w:t>   </w:t>
      </w:r>
      <w:r w:rsidR="00BA476F" w:rsidRPr="005D3D2E">
        <w:t xml:space="preserve">The direction of </w:t>
      </w:r>
      <w:r w:rsidR="00A7178F" w:rsidRPr="00C55D56">
        <w:rPr>
          <w:noProof/>
          <w:position w:val="-4"/>
        </w:rPr>
        <w:object w:dxaOrig="220" w:dyaOrig="260" w14:anchorId="2AEB2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alt="" style="width:11.1pt;height:12.75pt;mso-width-percent:0;mso-height-percent:0;mso-width-percent:0;mso-height-percent:0" o:ole="">
            <v:imagedata r:id="rId8" o:title=""/>
          </v:shape>
          <o:OLEObject Type="Embed" ProgID="Equation.DSMT4" ShapeID="_x0000_i1051" DrawAspect="Content" ObjectID="_1807976951" r:id="rId9"/>
        </w:object>
      </w:r>
      <w:r w:rsidR="00BA476F" w:rsidRPr="005D3D2E">
        <w:t xml:space="preserve"> is always from high potential to low potential so point </w:t>
      </w:r>
      <w:r w:rsidR="00BA476F" w:rsidRPr="009A2DCF">
        <w:rPr>
          <w:i/>
        </w:rPr>
        <w:t>b</w:t>
      </w:r>
      <w:r w:rsidR="00BA476F" w:rsidRPr="005D3D2E">
        <w:t xml:space="preserve"> is at higher potential.</w:t>
      </w:r>
    </w:p>
    <w:p w14:paraId="6718DAE9" w14:textId="77777777" w:rsidR="00BA476F" w:rsidRPr="005D3D2E" w:rsidRDefault="00BA476F" w:rsidP="00BA476F">
      <w:pPr>
        <w:pStyle w:val="GENQ"/>
      </w:pPr>
      <w:r w:rsidRPr="00CC0F86">
        <w:rPr>
          <w:rStyle w:val="BOLD"/>
        </w:rPr>
        <w:t xml:space="preserve">(b) </w:t>
      </w:r>
      <w:r w:rsidRPr="005D3D2E">
        <w:t>Apply Eq.</w:t>
      </w:r>
      <w:r>
        <w:t xml:space="preserve"> </w:t>
      </w:r>
      <w:r w:rsidRPr="005D3D2E">
        <w:t xml:space="preserve">(23.17) to relate </w:t>
      </w:r>
      <w:r w:rsidR="00A7178F" w:rsidRPr="00C55D56">
        <w:rPr>
          <w:noProof/>
          <w:position w:val="-10"/>
        </w:rPr>
        <w:object w:dxaOrig="600" w:dyaOrig="300" w14:anchorId="069198B2">
          <v:shape id="_x0000_i1050" type="#_x0000_t75" alt="" style="width:30.45pt;height:15.5pt;mso-width-percent:0;mso-height-percent:0;mso-width-percent:0;mso-height-percent:0" o:ole="">
            <v:imagedata r:id="rId10" o:title=""/>
          </v:shape>
          <o:OLEObject Type="Embed" ProgID="Equation.DSMT4" ShapeID="_x0000_i1050" DrawAspect="Content" ObjectID="_1807976952" r:id="rId11"/>
        </w:object>
      </w:r>
      <w:r w:rsidRPr="005D3D2E">
        <w:t xml:space="preserve"> to </w:t>
      </w:r>
      <w:r w:rsidRPr="009A2DCF">
        <w:rPr>
          <w:i/>
        </w:rPr>
        <w:t>E</w:t>
      </w:r>
      <w:r w:rsidRPr="005D3D2E">
        <w:t>.</w:t>
      </w:r>
    </w:p>
    <w:p w14:paraId="3F931C06" w14:textId="77777777" w:rsidR="00BA476F" w:rsidRPr="005D3D2E" w:rsidRDefault="00BA476F" w:rsidP="00BA476F">
      <w:pPr>
        <w:pStyle w:val="GENQ"/>
      </w:pPr>
      <w:r w:rsidRPr="00CC0F86">
        <w:rPr>
          <w:rStyle w:val="GENQTTL"/>
        </w:rPr>
        <w:t>Execute:</w:t>
      </w:r>
      <w:r w:rsidRPr="001236FE">
        <w:rPr>
          <w:rStyle w:val="GENQTTL"/>
        </w:rPr>
        <w:t>   </w:t>
      </w:r>
      <w:r w:rsidR="00A7178F" w:rsidRPr="00A7178F">
        <w:rPr>
          <w:rStyle w:val="GENQTTL"/>
          <w:rFonts w:hint="eastAsia"/>
          <w:b w:val="0"/>
          <w:smallCaps w:val="0"/>
          <w:noProof/>
        </w:rPr>
        <w:object w:dxaOrig="3280" w:dyaOrig="460" w14:anchorId="5BF7E7F8">
          <v:shape id="_x0000_i1049" type="#_x0000_t75" alt="" style="width:163.95pt;height:23.25pt;mso-width-percent:0;mso-height-percent:0;mso-width-percent:0;mso-height-percent:0" o:ole="">
            <v:imagedata r:id="rId12" o:title=""/>
          </v:shape>
          <o:OLEObject Type="Embed" ProgID="Equation.DSMT4" ShapeID="_x0000_i1049" DrawAspect="Content" ObjectID="_1807976953" r:id="rId13"/>
        </w:object>
      </w:r>
    </w:p>
    <w:p w14:paraId="09A6E3EE" w14:textId="77777777" w:rsidR="00BA476F" w:rsidRPr="005D3D2E" w:rsidRDefault="00A7178F" w:rsidP="00BA476F">
      <w:pPr>
        <w:pStyle w:val="GENQDMFIRST"/>
        <w:spacing w:before="20" w:after="20"/>
      </w:pPr>
      <w:r w:rsidRPr="00C55D56">
        <w:rPr>
          <w:noProof/>
          <w:position w:val="-26"/>
        </w:rPr>
        <w:object w:dxaOrig="3260" w:dyaOrig="580" w14:anchorId="7C9E3CC3">
          <v:shape id="_x0000_i1048" type="#_x0000_t75" alt="" style="width:162.85pt;height:29.35pt;mso-width-percent:0;mso-height-percent:0;mso-width-percent:0;mso-height-percent:0" o:ole="">
            <v:imagedata r:id="rId14" o:title=""/>
          </v:shape>
          <o:OLEObject Type="Embed" ProgID="Equation.DSMT4" ShapeID="_x0000_i1048" DrawAspect="Content" ObjectID="_1807976954" r:id="rId15"/>
        </w:object>
      </w:r>
    </w:p>
    <w:p w14:paraId="6282DB74" w14:textId="77777777" w:rsidR="00BA476F" w:rsidRPr="005D3D2E" w:rsidRDefault="00BA476F" w:rsidP="00BA476F">
      <w:pPr>
        <w:pStyle w:val="GENQ"/>
      </w:pPr>
      <w:r w:rsidRPr="00CC0F86">
        <w:rPr>
          <w:rStyle w:val="BOLD"/>
        </w:rPr>
        <w:t>(c)</w:t>
      </w:r>
      <w:r>
        <w:rPr>
          <w:rStyle w:val="BOLD"/>
        </w:rPr>
        <w:t xml:space="preserve"> </w:t>
      </w:r>
      <w:r w:rsidR="00A7178F" w:rsidRPr="00A7178F">
        <w:rPr>
          <w:rStyle w:val="BOLD"/>
          <w:b w:val="0"/>
          <w:noProof/>
        </w:rPr>
        <w:object w:dxaOrig="5000" w:dyaOrig="340" w14:anchorId="29B54794">
          <v:shape id="_x0000_i1047" type="#_x0000_t75" alt="" style="width:250.35pt;height:16.6pt;mso-width-percent:0;mso-height-percent:0;mso-width-percent:0;mso-height-percent:0" o:ole="">
            <v:imagedata r:id="rId16" o:title=""/>
          </v:shape>
          <o:OLEObject Type="Embed" ProgID="Equation.DSMT4" ShapeID="_x0000_i1047" DrawAspect="Content" ObjectID="_1807976955" r:id="rId17"/>
        </w:object>
      </w:r>
    </w:p>
    <w:p w14:paraId="5129E19B" w14:textId="04D12F5B" w:rsidR="00BA476F" w:rsidRDefault="00BA476F" w:rsidP="00BA476F">
      <w:pPr>
        <w:pStyle w:val="GENQ"/>
      </w:pPr>
      <w:r w:rsidRPr="00CC0F86">
        <w:rPr>
          <w:rStyle w:val="GENQTTL"/>
        </w:rPr>
        <w:t>Evaluate:</w:t>
      </w:r>
      <w:r w:rsidRPr="001236FE">
        <w:rPr>
          <w:rStyle w:val="GENQTTL"/>
        </w:rPr>
        <w:t>   </w:t>
      </w:r>
      <w:r w:rsidRPr="005D3D2E">
        <w:t xml:space="preserve">The electric force does negative work on a negative charge when the negative charge moves from high potential (point </w:t>
      </w:r>
      <w:r w:rsidRPr="009A2DCF">
        <w:rPr>
          <w:i/>
        </w:rPr>
        <w:t>b</w:t>
      </w:r>
      <w:r w:rsidRPr="005D3D2E">
        <w:t xml:space="preserve">) to low potential (point </w:t>
      </w:r>
      <w:r w:rsidRPr="009A2DCF">
        <w:rPr>
          <w:i/>
        </w:rPr>
        <w:t>a</w:t>
      </w:r>
      <w:r w:rsidRPr="005D3D2E">
        <w:t>).</w:t>
      </w:r>
    </w:p>
    <w:p w14:paraId="7F310D20" w14:textId="77777777" w:rsidR="00F8379C" w:rsidRDefault="00F8379C" w:rsidP="00F8379C">
      <w:pPr>
        <w:pStyle w:val="GENQ"/>
        <w:rPr>
          <w:rStyle w:val="GENQTTL"/>
          <w:rFonts w:hint="eastAsia"/>
        </w:rPr>
      </w:pPr>
    </w:p>
    <w:p w14:paraId="4EC0E9CC" w14:textId="13CECA3C" w:rsidR="00C016C5" w:rsidRPr="005D3D2E" w:rsidRDefault="00F8379C" w:rsidP="00F8379C">
      <w:pPr>
        <w:pStyle w:val="GENQ"/>
        <w:ind w:hanging="496"/>
      </w:pPr>
      <w:r>
        <w:rPr>
          <w:rStyle w:val="GENQTTL"/>
        </w:rPr>
        <w:t>23.</w:t>
      </w:r>
      <w:r>
        <w:t>74</w:t>
      </w:r>
      <w:r w:rsidR="00C016C5" w:rsidRPr="00B508F5">
        <w:rPr>
          <w:rStyle w:val="GENQNUM"/>
        </w:rPr>
        <w:t>.</w:t>
      </w:r>
      <w:r w:rsidR="00C016C5" w:rsidRPr="005D3D2E">
        <w:tab/>
      </w:r>
      <w:r w:rsidR="00C016C5" w:rsidRPr="005F1789">
        <w:rPr>
          <w:rStyle w:val="GENQTTL"/>
        </w:rPr>
        <w:t>Identify</w:t>
      </w:r>
      <w:r w:rsidR="00C016C5" w:rsidRPr="005D3D2E">
        <w:t xml:space="preserve"> and </w:t>
      </w:r>
      <w:r w:rsidR="00C016C5" w:rsidRPr="008F2540">
        <w:rPr>
          <w:rStyle w:val="GENQTTL"/>
        </w:rPr>
        <w:t>Set Up</w:t>
      </w:r>
      <w:r w:rsidR="00C016C5" w:rsidRPr="0002509D">
        <w:rPr>
          <w:rStyle w:val="GENQTTL"/>
        </w:rPr>
        <w:t>:</w:t>
      </w:r>
      <w:r w:rsidR="00C016C5" w:rsidRPr="001236FE">
        <w:rPr>
          <w:rStyle w:val="GENQTTL"/>
        </w:rPr>
        <w:t>   </w:t>
      </w:r>
      <w:r w:rsidR="00C016C5" w:rsidRPr="005D3D2E">
        <w:t>The potential at the surface is given by Example 23.8 and the electric field at the surface is given by Example 22.5. The charge initially on sphere 1 spreads between the two spheres such as to bring them to the same potential.</w:t>
      </w:r>
    </w:p>
    <w:p w14:paraId="59D625ED" w14:textId="77777777" w:rsidR="00C016C5" w:rsidRPr="005D3D2E" w:rsidRDefault="00C016C5" w:rsidP="00C016C5">
      <w:pPr>
        <w:pStyle w:val="GENQ"/>
      </w:pPr>
      <w:r w:rsidRPr="008F2540">
        <w:rPr>
          <w:rStyle w:val="GENQTTL"/>
        </w:rPr>
        <w:t>Execute</w:t>
      </w:r>
      <w:r w:rsidRPr="0002509D">
        <w:rPr>
          <w:rStyle w:val="GENQTTL"/>
        </w:rPr>
        <w:t>:</w:t>
      </w:r>
      <w:r w:rsidRPr="001236FE">
        <w:rPr>
          <w:rStyle w:val="GENQTTL"/>
        </w:rPr>
        <w:t>   </w:t>
      </w:r>
      <w:r w:rsidRPr="005F1789">
        <w:rPr>
          <w:rStyle w:val="BOLD"/>
        </w:rPr>
        <w:t xml:space="preserve">(a) </w:t>
      </w:r>
      <w:r w:rsidR="00A7178F" w:rsidRPr="00A7178F">
        <w:rPr>
          <w:rStyle w:val="BOLD"/>
          <w:b w:val="0"/>
          <w:noProof/>
        </w:rPr>
        <w:object w:dxaOrig="1180" w:dyaOrig="580" w14:anchorId="35B60C5B">
          <v:shape id="_x0000_i1046" type="#_x0000_t75" alt="" style="width:58.7pt;height:29.35pt;mso-width-percent:0;mso-height-percent:0;mso-width-percent:0;mso-height-percent:0" o:ole="">
            <v:imagedata r:id="rId18" o:title=""/>
          </v:shape>
          <o:OLEObject Type="Embed" ProgID="Equation.DSMT4" ShapeID="_x0000_i1046" DrawAspect="Content" ObjectID="_1807976956" r:id="rId19"/>
        </w:object>
      </w:r>
      <w:r w:rsidRPr="005D3D2E">
        <w:t xml:space="preserve"> </w:t>
      </w:r>
      <w:r w:rsidR="00A7178F" w:rsidRPr="00C55D56">
        <w:rPr>
          <w:noProof/>
          <w:position w:val="-26"/>
        </w:rPr>
        <w:object w:dxaOrig="1579" w:dyaOrig="580" w14:anchorId="668C3D8C">
          <v:shape id="_x0000_i1045" type="#_x0000_t75" alt="" style="width:79.2pt;height:29.35pt;mso-width-percent:0;mso-height-percent:0;mso-width-percent:0;mso-height-percent:0" o:ole="">
            <v:imagedata r:id="rId20" o:title=""/>
          </v:shape>
          <o:OLEObject Type="Embed" ProgID="Equation.DSMT4" ShapeID="_x0000_i1045" DrawAspect="Content" ObjectID="_1807976957" r:id="rId21"/>
        </w:object>
      </w:r>
    </w:p>
    <w:p w14:paraId="0779E7BE" w14:textId="77777777" w:rsidR="00C016C5" w:rsidRPr="005D3D2E" w:rsidRDefault="00C016C5" w:rsidP="00C016C5">
      <w:pPr>
        <w:pStyle w:val="GENQ"/>
      </w:pPr>
      <w:r w:rsidRPr="005F1789">
        <w:rPr>
          <w:rStyle w:val="BOLD"/>
        </w:rPr>
        <w:t>(b)</w:t>
      </w:r>
      <w:r w:rsidRPr="005D3D2E">
        <w:t xml:space="preserve"> Two conditions must be met:</w:t>
      </w:r>
    </w:p>
    <w:p w14:paraId="6ABC140D" w14:textId="77777777" w:rsidR="00C016C5" w:rsidRPr="005D3D2E" w:rsidRDefault="00C016C5" w:rsidP="00C016C5">
      <w:pPr>
        <w:pStyle w:val="GENQ"/>
      </w:pPr>
      <w:r w:rsidRPr="005D3D2E">
        <w:t xml:space="preserve">1) Let </w:t>
      </w:r>
      <w:r w:rsidR="00A7178F" w:rsidRPr="00C55D56">
        <w:rPr>
          <w:noProof/>
          <w:position w:val="-10"/>
        </w:rPr>
        <w:object w:dxaOrig="220" w:dyaOrig="300" w14:anchorId="0F028BB1">
          <v:shape id="_x0000_i1044" type="#_x0000_t75" alt="" style="width:11.1pt;height:15.5pt;mso-width-percent:0;mso-height-percent:0;mso-width-percent:0;mso-height-percent:0" o:ole="">
            <v:imagedata r:id="rId22" o:title=""/>
          </v:shape>
          <o:OLEObject Type="Embed" ProgID="Equation.DSMT4" ShapeID="_x0000_i1044" DrawAspect="Content" ObjectID="_1807976958" r:id="rId23"/>
        </w:object>
      </w:r>
      <w:r>
        <w:t xml:space="preserve"> and </w:t>
      </w:r>
      <w:r w:rsidR="00A7178F" w:rsidRPr="00C55D56">
        <w:rPr>
          <w:noProof/>
          <w:position w:val="-10"/>
        </w:rPr>
        <w:object w:dxaOrig="240" w:dyaOrig="300" w14:anchorId="27FA6D6D">
          <v:shape id="_x0000_i1043" type="#_x0000_t75" alt="" style="width:11.65pt;height:15.5pt;mso-width-percent:0;mso-height-percent:0;mso-width-percent:0;mso-height-percent:0" o:ole="">
            <v:imagedata r:id="rId24" o:title=""/>
          </v:shape>
          <o:OLEObject Type="Embed" ProgID="Equation.DSMT4" ShapeID="_x0000_i1043" DrawAspect="Content" ObjectID="_1807976959" r:id="rId25"/>
        </w:object>
      </w:r>
      <w:r w:rsidRPr="005D3D2E">
        <w:t xml:space="preserve"> be the final charges of each sphere. Then </w:t>
      </w:r>
      <w:r w:rsidR="00A7178F" w:rsidRPr="00C55D56">
        <w:rPr>
          <w:noProof/>
          <w:position w:val="-10"/>
        </w:rPr>
        <w:object w:dxaOrig="960" w:dyaOrig="300" w14:anchorId="5FDEE3FC">
          <v:shape id="_x0000_i1042" type="#_x0000_t75" alt="" style="width:48.2pt;height:15.5pt;mso-width-percent:0;mso-height-percent:0;mso-width-percent:0;mso-height-percent:0" o:ole="">
            <v:imagedata r:id="rId26" o:title=""/>
          </v:shape>
          <o:OLEObject Type="Embed" ProgID="Equation.DSMT4" ShapeID="_x0000_i1042" DrawAspect="Content" ObjectID="_1807976960" r:id="rId27"/>
        </w:object>
      </w:r>
      <w:r w:rsidRPr="005D3D2E">
        <w:t xml:space="preserve"> (charge conservation)</w:t>
      </w:r>
    </w:p>
    <w:p w14:paraId="4C5A211F" w14:textId="77777777" w:rsidR="00C016C5" w:rsidRPr="005D3D2E" w:rsidRDefault="00C016C5" w:rsidP="00C016C5">
      <w:pPr>
        <w:pStyle w:val="GENQ"/>
      </w:pPr>
      <w:r w:rsidRPr="005D3D2E">
        <w:lastRenderedPageBreak/>
        <w:t xml:space="preserve">2) Let </w:t>
      </w:r>
      <w:r w:rsidR="00A7178F" w:rsidRPr="00C55D56">
        <w:rPr>
          <w:noProof/>
          <w:position w:val="-10"/>
        </w:rPr>
        <w:object w:dxaOrig="220" w:dyaOrig="300" w14:anchorId="2FEB3112">
          <v:shape id="_x0000_i1041" type="#_x0000_t75" alt="" style="width:11.1pt;height:15.5pt;mso-width-percent:0;mso-height-percent:0;mso-width-percent:0;mso-height-percent:0" o:ole="">
            <v:imagedata r:id="rId28" o:title=""/>
          </v:shape>
          <o:OLEObject Type="Embed" ProgID="Equation.DSMT4" ShapeID="_x0000_i1041" DrawAspect="Content" ObjectID="_1807976961" r:id="rId29"/>
        </w:object>
      </w:r>
      <w:r>
        <w:t xml:space="preserve"> </w:t>
      </w:r>
      <w:r w:rsidRPr="005D3D2E">
        <w:t xml:space="preserve">and </w:t>
      </w:r>
      <w:r w:rsidR="00A7178F" w:rsidRPr="00C55D56">
        <w:rPr>
          <w:noProof/>
          <w:position w:val="-10"/>
        </w:rPr>
        <w:object w:dxaOrig="240" w:dyaOrig="300" w14:anchorId="0D7FD105">
          <v:shape id="_x0000_i1040" type="#_x0000_t75" alt="" style="width:11.65pt;height:15.5pt;mso-width-percent:0;mso-height-percent:0;mso-width-percent:0;mso-height-percent:0" o:ole="">
            <v:imagedata r:id="rId30" o:title=""/>
          </v:shape>
          <o:OLEObject Type="Embed" ProgID="Equation.DSMT4" ShapeID="_x0000_i1040" DrawAspect="Content" ObjectID="_1807976962" r:id="rId31"/>
        </w:object>
      </w:r>
      <w:r w:rsidRPr="005D3D2E">
        <w:t xml:space="preserve"> be the final potentials of each sphere. All points of a conductor are at the same potential, so </w:t>
      </w:r>
      <w:r w:rsidR="00A7178F" w:rsidRPr="00C55D56">
        <w:rPr>
          <w:noProof/>
          <w:position w:val="-10"/>
        </w:rPr>
        <w:object w:dxaOrig="620" w:dyaOrig="300" w14:anchorId="56894E54">
          <v:shape id="_x0000_i1039" type="#_x0000_t75" alt="" style="width:31.55pt;height:15.5pt;mso-width-percent:0;mso-height-percent:0;mso-width-percent:0;mso-height-percent:0" o:ole="">
            <v:imagedata r:id="rId32" o:title=""/>
          </v:shape>
          <o:OLEObject Type="Embed" ProgID="Equation.DSMT4" ShapeID="_x0000_i1039" DrawAspect="Content" ObjectID="_1807976963" r:id="rId33"/>
        </w:object>
      </w:r>
    </w:p>
    <w:p w14:paraId="38B57967" w14:textId="77777777" w:rsidR="00C016C5" w:rsidRPr="005D3D2E" w:rsidRDefault="00A7178F" w:rsidP="00C016C5">
      <w:pPr>
        <w:pStyle w:val="GENQ"/>
      </w:pPr>
      <w:r w:rsidRPr="00C55D56">
        <w:rPr>
          <w:noProof/>
          <w:position w:val="-10"/>
        </w:rPr>
        <w:object w:dxaOrig="580" w:dyaOrig="300" w14:anchorId="3BE967E7">
          <v:shape id="_x0000_i1038" type="#_x0000_t75" alt="" style="width:29.35pt;height:15.5pt;mso-width-percent:0;mso-height-percent:0;mso-width-percent:0;mso-height-percent:0" o:ole="">
            <v:imagedata r:id="rId34" o:title=""/>
          </v:shape>
          <o:OLEObject Type="Embed" ProgID="Equation.DSMT4" ShapeID="_x0000_i1038" DrawAspect="Content" ObjectID="_1807976964" r:id="rId35"/>
        </w:object>
      </w:r>
      <w:r w:rsidR="00C016C5" w:rsidRPr="005D3D2E">
        <w:t xml:space="preserve"> requires that </w:t>
      </w:r>
      <w:r w:rsidRPr="00C55D56">
        <w:rPr>
          <w:noProof/>
          <w:position w:val="-26"/>
        </w:rPr>
        <w:object w:dxaOrig="1560" w:dyaOrig="580" w14:anchorId="3D086B02">
          <v:shape id="_x0000_i1037" type="#_x0000_t75" alt="" style="width:77.55pt;height:29.35pt;mso-width-percent:0;mso-height-percent:0;mso-width-percent:0;mso-height-percent:0" o:ole="">
            <v:imagedata r:id="rId36" o:title=""/>
          </v:shape>
          <o:OLEObject Type="Embed" ProgID="Equation.DSMT4" ShapeID="_x0000_i1037" DrawAspect="Content" ObjectID="_1807976965" r:id="rId37"/>
        </w:object>
      </w:r>
      <w:r w:rsidR="00C016C5" w:rsidRPr="005D3D2E">
        <w:t xml:space="preserve"> and then </w:t>
      </w:r>
      <w:r w:rsidRPr="00C55D56">
        <w:rPr>
          <w:noProof/>
          <w:position w:val="-10"/>
        </w:rPr>
        <w:object w:dxaOrig="1040" w:dyaOrig="300" w14:anchorId="5AAC9766">
          <v:shape id="_x0000_i1036" type="#_x0000_t75" alt="" style="width:52.05pt;height:15.5pt;mso-width-percent:0;mso-height-percent:0;mso-width-percent:0;mso-height-percent:0" o:ole="">
            <v:imagedata r:id="rId38" o:title=""/>
          </v:shape>
          <o:OLEObject Type="Embed" ProgID="Equation.DSMT4" ShapeID="_x0000_i1036" DrawAspect="Content" ObjectID="_1807976966" r:id="rId39"/>
        </w:object>
      </w:r>
    </w:p>
    <w:p w14:paraId="24FF47C6" w14:textId="77777777" w:rsidR="00C016C5" w:rsidRPr="005D3D2E" w:rsidRDefault="00A7178F" w:rsidP="00C016C5">
      <w:pPr>
        <w:pStyle w:val="GENQDMFIRST"/>
      </w:pPr>
      <w:r w:rsidRPr="00C55D56">
        <w:rPr>
          <w:noProof/>
          <w:position w:val="-10"/>
        </w:rPr>
        <w:object w:dxaOrig="1960" w:dyaOrig="300" w14:anchorId="67B608C2">
          <v:shape id="_x0000_i1035" type="#_x0000_t75" alt="" style="width:98.6pt;height:15.5pt;mso-width-percent:0;mso-height-percent:0;mso-width-percent:0;mso-height-percent:0" o:ole="">
            <v:imagedata r:id="rId40" o:title=""/>
          </v:shape>
          <o:OLEObject Type="Embed" ProgID="Equation.DSMT4" ShapeID="_x0000_i1035" DrawAspect="Content" ObjectID="_1807976967" r:id="rId41"/>
        </w:object>
      </w:r>
    </w:p>
    <w:p w14:paraId="70714B39" w14:textId="77777777" w:rsidR="00C016C5" w:rsidRPr="005D3D2E" w:rsidRDefault="00C016C5" w:rsidP="00C016C5">
      <w:pPr>
        <w:pStyle w:val="GENQ"/>
      </w:pPr>
      <w:r w:rsidRPr="005D3D2E">
        <w:t xml:space="preserve">This gives </w:t>
      </w:r>
      <w:r w:rsidR="00A7178F" w:rsidRPr="00C55D56">
        <w:rPr>
          <w:noProof/>
          <w:position w:val="-10"/>
        </w:rPr>
        <w:object w:dxaOrig="1620" w:dyaOrig="300" w14:anchorId="7E8B9DF0">
          <v:shape id="_x0000_i1034" type="#_x0000_t75" alt="" style="width:81.4pt;height:15.5pt;mso-width-percent:0;mso-height-percent:0;mso-width-percent:0;mso-height-percent:0" o:ole="">
            <v:imagedata r:id="rId42" o:title=""/>
          </v:shape>
          <o:OLEObject Type="Embed" ProgID="Equation.DSMT4" ShapeID="_x0000_i1034" DrawAspect="Content" ObjectID="_1807976968" r:id="rId43"/>
        </w:object>
      </w:r>
      <w:r w:rsidRPr="005D3D2E">
        <w:t xml:space="preserve"> and </w:t>
      </w:r>
      <w:r w:rsidR="00A7178F" w:rsidRPr="00C55D56">
        <w:rPr>
          <w:noProof/>
          <w:position w:val="-10"/>
        </w:rPr>
        <w:object w:dxaOrig="4060" w:dyaOrig="300" w14:anchorId="4ECF73D6">
          <v:shape id="_x0000_i1033" type="#_x0000_t75" alt="" style="width:203.25pt;height:15.5pt;mso-width-percent:0;mso-height-percent:0;mso-width-percent:0;mso-height-percent:0" o:ole="">
            <v:imagedata r:id="rId44" o:title=""/>
          </v:shape>
          <o:OLEObject Type="Embed" ProgID="Equation.DSMT4" ShapeID="_x0000_i1033" DrawAspect="Content" ObjectID="_1807976969" r:id="rId45"/>
        </w:object>
      </w:r>
    </w:p>
    <w:p w14:paraId="455FB0CF" w14:textId="77777777" w:rsidR="00C016C5" w:rsidRPr="005D3D2E" w:rsidRDefault="00C016C5" w:rsidP="00C016C5">
      <w:pPr>
        <w:pStyle w:val="GENQ"/>
      </w:pPr>
      <w:r w:rsidRPr="005F1789">
        <w:rPr>
          <w:rStyle w:val="BOLD"/>
        </w:rPr>
        <w:t>(c)</w:t>
      </w:r>
      <w:r w:rsidRPr="005D3D2E">
        <w:t xml:space="preserve"> </w:t>
      </w:r>
      <w:r w:rsidR="00A7178F" w:rsidRPr="0051517C">
        <w:rPr>
          <w:noProof/>
          <w:position w:val="-24"/>
        </w:rPr>
        <w:object w:dxaOrig="2340" w:dyaOrig="560" w14:anchorId="7E354C3C">
          <v:shape id="_x0000_i1032" type="#_x0000_t75" alt="" style="width:116.85pt;height:28.25pt;mso-width-percent:0;mso-height-percent:0;mso-width-percent:0;mso-height-percent:0" o:ole="">
            <v:imagedata r:id="rId46" o:title=""/>
          </v:shape>
          <o:OLEObject Type="Embed" ProgID="Equation.DSMT4" ShapeID="_x0000_i1032" DrawAspect="Content" ObjectID="_1807976970" r:id="rId47"/>
        </w:object>
      </w:r>
      <w:r w:rsidRPr="005D3D2E">
        <w:t xml:space="preserve"> and </w:t>
      </w:r>
      <w:r w:rsidR="00A7178F" w:rsidRPr="00C55D56">
        <w:rPr>
          <w:noProof/>
          <w:position w:val="-26"/>
        </w:rPr>
        <w:object w:dxaOrig="2439" w:dyaOrig="580" w14:anchorId="57854845">
          <v:shape id="_x0000_i1031" type="#_x0000_t75" alt="" style="width:121.85pt;height:29.35pt;mso-width-percent:0;mso-height-percent:0;mso-width-percent:0;mso-height-percent:0" o:ole="">
            <v:imagedata r:id="rId48" o:title=""/>
          </v:shape>
          <o:OLEObject Type="Embed" ProgID="Equation.DSMT4" ShapeID="_x0000_i1031" DrawAspect="Content" ObjectID="_1807976971" r:id="rId49"/>
        </w:object>
      </w:r>
      <w:r w:rsidRPr="005D3D2E">
        <w:t xml:space="preserve"> which equals </w:t>
      </w:r>
      <w:r w:rsidR="00A7178F" w:rsidRPr="00C55D56">
        <w:rPr>
          <w:noProof/>
          <w:position w:val="-10"/>
        </w:rPr>
        <w:object w:dxaOrig="220" w:dyaOrig="300" w14:anchorId="3BC59438">
          <v:shape id="_x0000_i1030" type="#_x0000_t75" alt="" style="width:11.1pt;height:15.5pt;mso-width-percent:0;mso-height-percent:0;mso-width-percent:0;mso-height-percent:0" o:ole="">
            <v:imagedata r:id="rId50" o:title=""/>
          </v:shape>
          <o:OLEObject Type="Embed" ProgID="Equation.DSMT4" ShapeID="_x0000_i1030" DrawAspect="Content" ObjectID="_1807976972" r:id="rId51"/>
        </w:object>
      </w:r>
      <w:r w:rsidRPr="005D3D2E">
        <w:t xml:space="preserve"> as it should.</w:t>
      </w:r>
    </w:p>
    <w:p w14:paraId="030ECCA5" w14:textId="77777777" w:rsidR="00C016C5" w:rsidRPr="005D3D2E" w:rsidRDefault="00C016C5" w:rsidP="00C016C5">
      <w:pPr>
        <w:pStyle w:val="GENQ"/>
      </w:pPr>
      <w:r w:rsidRPr="005F1789">
        <w:rPr>
          <w:rStyle w:val="BOLD"/>
        </w:rPr>
        <w:t xml:space="preserve">(d) </w:t>
      </w:r>
      <w:r w:rsidR="00A7178F" w:rsidRPr="00A7178F">
        <w:rPr>
          <w:rStyle w:val="BOLD"/>
          <w:b w:val="0"/>
          <w:noProof/>
        </w:rPr>
        <w:object w:dxaOrig="2140" w:dyaOrig="580" w14:anchorId="4F28907B">
          <v:shape id="_x0000_i1029" type="#_x0000_t75" alt="" style="width:106.9pt;height:29.35pt;mso-width-percent:0;mso-height-percent:0;mso-width-percent:0;mso-height-percent:0" o:ole="">
            <v:imagedata r:id="rId52" o:title=""/>
          </v:shape>
          <o:OLEObject Type="Embed" ProgID="Equation.DSMT4" ShapeID="_x0000_i1029" DrawAspect="Content" ObjectID="_1807976973" r:id="rId53"/>
        </w:object>
      </w:r>
      <w:r w:rsidRPr="005D3D2E">
        <w:t xml:space="preserve"> </w:t>
      </w:r>
      <w:r w:rsidR="00A7178F" w:rsidRPr="00C55D56">
        <w:rPr>
          <w:noProof/>
          <w:position w:val="-26"/>
        </w:rPr>
        <w:object w:dxaOrig="2240" w:dyaOrig="580" w14:anchorId="2570A62B">
          <v:shape id="_x0000_i1028" type="#_x0000_t75" alt="" style="width:111.9pt;height:29.35pt;mso-width-percent:0;mso-height-percent:0;mso-width-percent:0;mso-height-percent:0" o:ole="">
            <v:imagedata r:id="rId54" o:title=""/>
          </v:shape>
          <o:OLEObject Type="Embed" ProgID="Equation.DSMT4" ShapeID="_x0000_i1028" DrawAspect="Content" ObjectID="_1807976974" r:id="rId55"/>
        </w:object>
      </w:r>
    </w:p>
    <w:p w14:paraId="69CD8871" w14:textId="77777777" w:rsidR="00C016C5" w:rsidRPr="005D3D2E" w:rsidRDefault="00C016C5" w:rsidP="00C016C5">
      <w:pPr>
        <w:pStyle w:val="GENQ"/>
      </w:pPr>
      <w:r w:rsidRPr="008F2540">
        <w:rPr>
          <w:rStyle w:val="GENQTTL"/>
        </w:rPr>
        <w:t>Evaluate</w:t>
      </w:r>
      <w:r w:rsidRPr="0002509D">
        <w:rPr>
          <w:rStyle w:val="GENQTTL"/>
        </w:rPr>
        <w:t>:</w:t>
      </w:r>
      <w:r w:rsidRPr="001236FE">
        <w:rPr>
          <w:rStyle w:val="GENQTTL"/>
        </w:rPr>
        <w:t>   </w:t>
      </w:r>
      <w:r w:rsidRPr="005D3D2E">
        <w:t xml:space="preserve">Part </w:t>
      </w:r>
      <w:r w:rsidRPr="009D3F93">
        <w:rPr>
          <w:rStyle w:val="BOLD"/>
          <w:b w:val="0"/>
        </w:rPr>
        <w:t>(a)</w:t>
      </w:r>
      <w:r w:rsidRPr="005D3D2E">
        <w:t xml:space="preserve"> says </w:t>
      </w:r>
      <w:r w:rsidR="00A7178F" w:rsidRPr="00C55D56">
        <w:rPr>
          <w:noProof/>
          <w:position w:val="-10"/>
        </w:rPr>
        <w:object w:dxaOrig="1180" w:dyaOrig="300" w14:anchorId="37B07C23">
          <v:shape id="_x0000_i1027" type="#_x0000_t75" alt="" style="width:58.7pt;height:15.5pt;mso-width-percent:0;mso-height-percent:0;mso-width-percent:0;mso-height-percent:0" o:ole="">
            <v:imagedata r:id="rId56" o:title=""/>
          </v:shape>
          <o:OLEObject Type="Embed" ProgID="Equation.DSMT4" ShapeID="_x0000_i1027" DrawAspect="Content" ObjectID="_1807976975" r:id="rId57"/>
        </w:object>
      </w:r>
      <w:r w:rsidRPr="005D3D2E">
        <w:t xml:space="preserve"> The sphere with the larger radius needs more charge to produce the same potential at its surface. When </w:t>
      </w:r>
      <w:r w:rsidR="00A7178F" w:rsidRPr="00C55D56">
        <w:rPr>
          <w:noProof/>
          <w:position w:val="-10"/>
        </w:rPr>
        <w:object w:dxaOrig="680" w:dyaOrig="300" w14:anchorId="26545070">
          <v:shape id="_x0000_i1026" type="#_x0000_t75" alt="" style="width:34.35pt;height:15.5pt;mso-width-percent:0;mso-height-percent:0;mso-width-percent:0;mso-height-percent:0" o:ole="">
            <v:imagedata r:id="rId58" o:title=""/>
          </v:shape>
          <o:OLEObject Type="Embed" ProgID="Equation.DSMT4" ShapeID="_x0000_i1026" DrawAspect="Content" ObjectID="_1807976976" r:id="rId59"/>
        </w:object>
      </w:r>
      <w:r w:rsidRPr="005D3D2E">
        <w:t xml:space="preserve"> </w:t>
      </w:r>
      <w:r w:rsidR="00A7178F" w:rsidRPr="00C55D56">
        <w:rPr>
          <w:noProof/>
          <w:position w:val="-10"/>
        </w:rPr>
        <w:object w:dxaOrig="1160" w:dyaOrig="300" w14:anchorId="5DA4AB38">
          <v:shape id="_x0000_i1025" type="#_x0000_t75" alt="" style="width:57.6pt;height:15.5pt;mso-width-percent:0;mso-height-percent:0;mso-width-percent:0;mso-height-percent:0" o:ole="">
            <v:imagedata r:id="rId60" o:title=""/>
          </v:shape>
          <o:OLEObject Type="Embed" ProgID="Equation.DSMT4" ShapeID="_x0000_i1025" DrawAspect="Content" ObjectID="_1807976977" r:id="rId61"/>
        </w:object>
      </w:r>
      <w:r w:rsidRPr="005D3D2E">
        <w:t xml:space="preserve"> The sphere with the larger radius has the smaller electric field at its surface.</w:t>
      </w:r>
    </w:p>
    <w:p w14:paraId="0CF8413B" w14:textId="77777777" w:rsidR="005B2C46" w:rsidRPr="00C016C5" w:rsidRDefault="005B2C46" w:rsidP="00BA476F">
      <w:pPr>
        <w:rPr>
          <w:sz w:val="24"/>
          <w:szCs w:val="24"/>
        </w:rPr>
      </w:pPr>
    </w:p>
    <w:sectPr w:rsidR="005B2C46" w:rsidRPr="00C016C5" w:rsidSect="007B7E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7AABB" w14:textId="77777777" w:rsidR="00A7178F" w:rsidRDefault="00A7178F" w:rsidP="00C37F8A">
      <w:r>
        <w:separator/>
      </w:r>
    </w:p>
  </w:endnote>
  <w:endnote w:type="continuationSeparator" w:id="0">
    <w:p w14:paraId="6A752505" w14:textId="77777777" w:rsidR="00A7178F" w:rsidRDefault="00A7178F" w:rsidP="00C3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236B1" w14:textId="77777777" w:rsidR="00A7178F" w:rsidRDefault="00A7178F" w:rsidP="00C37F8A">
      <w:r>
        <w:separator/>
      </w:r>
    </w:p>
  </w:footnote>
  <w:footnote w:type="continuationSeparator" w:id="0">
    <w:p w14:paraId="0AC2DA27" w14:textId="77777777" w:rsidR="00A7178F" w:rsidRDefault="00A7178F" w:rsidP="00C37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1038B"/>
    <w:multiLevelType w:val="singleLevel"/>
    <w:tmpl w:val="CAAA6BBE"/>
    <w:lvl w:ilvl="0">
      <w:start w:val="1"/>
      <w:numFmt w:val="upperLetter"/>
      <w:lvlText w:val="%1."/>
      <w:lvlJc w:val="left"/>
      <w:pPr>
        <w:tabs>
          <w:tab w:val="num" w:pos="680"/>
        </w:tabs>
        <w:ind w:left="680" w:hanging="453"/>
      </w:pPr>
      <w:rPr>
        <w:rFonts w:ascii="Times New Roman" w:eastAsia="PMingLiU" w:hAnsi="Times New Roman" w:cs="Times New Roman"/>
      </w:rPr>
    </w:lvl>
  </w:abstractNum>
  <w:num w:numId="1" w16cid:durableId="1486118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54"/>
    <w:rsid w:val="00012FD0"/>
    <w:rsid w:val="00056F54"/>
    <w:rsid w:val="00061115"/>
    <w:rsid w:val="000B4030"/>
    <w:rsid w:val="00144704"/>
    <w:rsid w:val="001778EC"/>
    <w:rsid w:val="001861EA"/>
    <w:rsid w:val="001C7CEC"/>
    <w:rsid w:val="001D32FF"/>
    <w:rsid w:val="00216862"/>
    <w:rsid w:val="00266C2F"/>
    <w:rsid w:val="002C40A0"/>
    <w:rsid w:val="002C73F2"/>
    <w:rsid w:val="002F7ACD"/>
    <w:rsid w:val="003055D6"/>
    <w:rsid w:val="003379DC"/>
    <w:rsid w:val="00342D0A"/>
    <w:rsid w:val="00433B60"/>
    <w:rsid w:val="00525051"/>
    <w:rsid w:val="00556C2C"/>
    <w:rsid w:val="0056398C"/>
    <w:rsid w:val="00563D83"/>
    <w:rsid w:val="00565A18"/>
    <w:rsid w:val="005B2C46"/>
    <w:rsid w:val="00637457"/>
    <w:rsid w:val="006873DC"/>
    <w:rsid w:val="006956A8"/>
    <w:rsid w:val="007264D8"/>
    <w:rsid w:val="00754FB8"/>
    <w:rsid w:val="00775A4D"/>
    <w:rsid w:val="007A0143"/>
    <w:rsid w:val="007B7E4E"/>
    <w:rsid w:val="008D3F6F"/>
    <w:rsid w:val="008D579E"/>
    <w:rsid w:val="008E0F29"/>
    <w:rsid w:val="00952E18"/>
    <w:rsid w:val="009A2090"/>
    <w:rsid w:val="009B30E0"/>
    <w:rsid w:val="00A008BD"/>
    <w:rsid w:val="00A7178F"/>
    <w:rsid w:val="00AC28E9"/>
    <w:rsid w:val="00AD785C"/>
    <w:rsid w:val="00B448A5"/>
    <w:rsid w:val="00B851D5"/>
    <w:rsid w:val="00BA476F"/>
    <w:rsid w:val="00BB0D26"/>
    <w:rsid w:val="00C016C5"/>
    <w:rsid w:val="00C03ADA"/>
    <w:rsid w:val="00C37F8A"/>
    <w:rsid w:val="00C5730F"/>
    <w:rsid w:val="00D22580"/>
    <w:rsid w:val="00D94BDC"/>
    <w:rsid w:val="00D972A0"/>
    <w:rsid w:val="00DB384E"/>
    <w:rsid w:val="00F3336D"/>
    <w:rsid w:val="00F41BFD"/>
    <w:rsid w:val="00F8379C"/>
    <w:rsid w:val="00FD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26E05"/>
  <w15:docId w15:val="{A00BA224-64F9-CE49-B3DF-21FBCA00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F54"/>
    <w:rPr>
      <w:rFonts w:ascii="Times New Roman" w:eastAsia="MingLiU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F8A"/>
    <w:pPr>
      <w:tabs>
        <w:tab w:val="center" w:pos="4153"/>
        <w:tab w:val="right" w:pos="8306"/>
      </w:tabs>
      <w:snapToGrid w:val="0"/>
    </w:pPr>
  </w:style>
  <w:style w:type="character" w:customStyle="1" w:styleId="HeaderChar">
    <w:name w:val="Header Char"/>
    <w:link w:val="Header"/>
    <w:uiPriority w:val="99"/>
    <w:rsid w:val="00C37F8A"/>
    <w:rPr>
      <w:rFonts w:ascii="Times New Roman" w:eastAsia="MingLiU" w:hAnsi="Times New Roman"/>
    </w:rPr>
  </w:style>
  <w:style w:type="paragraph" w:styleId="Footer">
    <w:name w:val="footer"/>
    <w:basedOn w:val="Normal"/>
    <w:link w:val="FooterChar"/>
    <w:uiPriority w:val="99"/>
    <w:unhideWhenUsed/>
    <w:rsid w:val="00C37F8A"/>
    <w:pPr>
      <w:tabs>
        <w:tab w:val="center" w:pos="4153"/>
        <w:tab w:val="right" w:pos="8306"/>
      </w:tabs>
      <w:snapToGrid w:val="0"/>
    </w:pPr>
  </w:style>
  <w:style w:type="character" w:customStyle="1" w:styleId="FooterChar">
    <w:name w:val="Footer Char"/>
    <w:link w:val="Footer"/>
    <w:uiPriority w:val="99"/>
    <w:rsid w:val="00C37F8A"/>
    <w:rPr>
      <w:rFonts w:ascii="Times New Roman" w:eastAsia="MingLiU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8A5"/>
    <w:rPr>
      <w:rFonts w:ascii="Cambria" w:eastAsia="PMingLiU" w:hAnsi="Cambri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448A5"/>
    <w:rPr>
      <w:rFonts w:ascii="Cambria" w:eastAsia="PMingLiU" w:hAnsi="Cambria" w:cs="Times New Roman"/>
      <w:sz w:val="18"/>
      <w:szCs w:val="18"/>
    </w:rPr>
  </w:style>
  <w:style w:type="character" w:customStyle="1" w:styleId="PRN">
    <w:name w:val="PR_N"/>
    <w:rsid w:val="001778EC"/>
    <w:rPr>
      <w:b/>
      <w:sz w:val="21"/>
    </w:rPr>
  </w:style>
  <w:style w:type="paragraph" w:customStyle="1" w:styleId="PRF">
    <w:name w:val="PR_F"/>
    <w:basedOn w:val="Normal"/>
    <w:link w:val="PRFChar"/>
    <w:rsid w:val="001778EC"/>
    <w:pPr>
      <w:spacing w:before="220"/>
      <w:jc w:val="both"/>
    </w:pPr>
    <w:rPr>
      <w:rFonts w:ascii="Times" w:eastAsia="Times" w:hAnsi="Times"/>
      <w:sz w:val="19"/>
      <w:lang w:eastAsia="en-US"/>
    </w:rPr>
  </w:style>
  <w:style w:type="paragraph" w:customStyle="1" w:styleId="PRlist">
    <w:name w:val="PR_list"/>
    <w:link w:val="PRlistChar1"/>
    <w:rsid w:val="001778EC"/>
    <w:pPr>
      <w:jc w:val="both"/>
    </w:pPr>
    <w:rPr>
      <w:rFonts w:ascii="Times" w:eastAsia="Times" w:hAnsi="Times"/>
      <w:noProof/>
      <w:sz w:val="19"/>
      <w:lang w:eastAsia="en-US"/>
    </w:rPr>
  </w:style>
  <w:style w:type="paragraph" w:customStyle="1" w:styleId="EQ">
    <w:name w:val="EQ"/>
    <w:basedOn w:val="Normal"/>
    <w:link w:val="EQChar"/>
    <w:rsid w:val="001778EC"/>
    <w:pPr>
      <w:spacing w:before="90" w:after="90"/>
      <w:jc w:val="center"/>
    </w:pPr>
    <w:rPr>
      <w:rFonts w:ascii="Times" w:eastAsia="PMingLiU" w:hAnsi="Times"/>
      <w:sz w:val="19"/>
      <w:lang w:eastAsia="en-US"/>
    </w:rPr>
  </w:style>
  <w:style w:type="character" w:customStyle="1" w:styleId="PRlistChar1">
    <w:name w:val="PR_list Char1"/>
    <w:link w:val="PRlist"/>
    <w:rsid w:val="001778EC"/>
    <w:rPr>
      <w:rFonts w:ascii="Times" w:eastAsia="Times" w:hAnsi="Times"/>
      <w:noProof/>
      <w:sz w:val="19"/>
      <w:lang w:val="en-US" w:eastAsia="en-US" w:bidi="ar-SA"/>
    </w:rPr>
  </w:style>
  <w:style w:type="character" w:customStyle="1" w:styleId="EQChar">
    <w:name w:val="EQ Char"/>
    <w:link w:val="EQ"/>
    <w:rsid w:val="001778EC"/>
    <w:rPr>
      <w:rFonts w:ascii="Times" w:eastAsia="PMingLiU" w:hAnsi="Times"/>
      <w:sz w:val="19"/>
      <w:lang w:eastAsia="en-US"/>
    </w:rPr>
  </w:style>
  <w:style w:type="paragraph" w:customStyle="1" w:styleId="Figure">
    <w:name w:val="Figure"/>
    <w:rsid w:val="001778EC"/>
    <w:pPr>
      <w:spacing w:before="120" w:after="120"/>
      <w:jc w:val="center"/>
    </w:pPr>
    <w:rPr>
      <w:rFonts w:ascii="Times New Roman" w:eastAsia="Times New Roman" w:hAnsi="Times New Roman"/>
      <w:sz w:val="19"/>
      <w:lang w:eastAsia="en-US"/>
    </w:rPr>
  </w:style>
  <w:style w:type="character" w:customStyle="1" w:styleId="PRFChar">
    <w:name w:val="PR_F Char"/>
    <w:link w:val="PRF"/>
    <w:rsid w:val="001778EC"/>
    <w:rPr>
      <w:rFonts w:ascii="Times" w:eastAsia="Times" w:hAnsi="Times"/>
      <w:sz w:val="19"/>
      <w:lang w:eastAsia="en-US"/>
    </w:rPr>
  </w:style>
  <w:style w:type="character" w:customStyle="1" w:styleId="PRFChar1">
    <w:name w:val="PR_F Char1"/>
    <w:rsid w:val="009B30E0"/>
    <w:rPr>
      <w:rFonts w:ascii="Times" w:eastAsia="Times" w:hAnsi="Times"/>
      <w:sz w:val="19"/>
      <w:szCs w:val="24"/>
      <w:lang w:val="en-US" w:eastAsia="en-US" w:bidi="ar-SA"/>
    </w:rPr>
  </w:style>
  <w:style w:type="character" w:customStyle="1" w:styleId="BOLD">
    <w:name w:val="BOLD"/>
    <w:rsid w:val="00BA476F"/>
    <w:rPr>
      <w:b/>
    </w:rPr>
  </w:style>
  <w:style w:type="paragraph" w:customStyle="1" w:styleId="GENQFIRST">
    <w:name w:val="GENQ_FIRST"/>
    <w:link w:val="GENQFIRSTChar"/>
    <w:rsid w:val="00BA476F"/>
    <w:pPr>
      <w:tabs>
        <w:tab w:val="right" w:pos="480"/>
        <w:tab w:val="left" w:pos="780"/>
      </w:tabs>
      <w:spacing w:line="230" w:lineRule="atLeast"/>
      <w:ind w:left="780" w:hanging="780"/>
    </w:pPr>
    <w:rPr>
      <w:rFonts w:ascii="Times New Roman" w:eastAsia="SimSun" w:hAnsi="Times New Roman" w:cs="Courier New"/>
      <w:sz w:val="19"/>
      <w:szCs w:val="19"/>
      <w:lang w:eastAsia="en-US"/>
    </w:rPr>
  </w:style>
  <w:style w:type="character" w:customStyle="1" w:styleId="GENQFIRSTChar">
    <w:name w:val="GENQ_FIRST Char"/>
    <w:link w:val="GENQFIRST"/>
    <w:rsid w:val="00BA476F"/>
    <w:rPr>
      <w:rFonts w:ascii="Times New Roman" w:eastAsia="SimSun" w:hAnsi="Times New Roman" w:cs="Courier New"/>
      <w:sz w:val="19"/>
      <w:szCs w:val="19"/>
      <w:lang w:val="en-US" w:eastAsia="en-US" w:bidi="ar-SA"/>
    </w:rPr>
  </w:style>
  <w:style w:type="paragraph" w:customStyle="1" w:styleId="GENQ">
    <w:name w:val="GENQ"/>
    <w:link w:val="GENQChar"/>
    <w:rsid w:val="00BA476F"/>
    <w:pPr>
      <w:spacing w:line="230" w:lineRule="atLeast"/>
      <w:ind w:left="780"/>
    </w:pPr>
    <w:rPr>
      <w:rFonts w:ascii="Times New Roman" w:eastAsia="SimSun" w:hAnsi="Times New Roman" w:cs="Courier New"/>
      <w:sz w:val="19"/>
      <w:szCs w:val="19"/>
      <w:lang w:eastAsia="en-US"/>
    </w:rPr>
  </w:style>
  <w:style w:type="character" w:customStyle="1" w:styleId="GENQChar">
    <w:name w:val="GENQ Char"/>
    <w:link w:val="GENQ"/>
    <w:rsid w:val="00BA476F"/>
    <w:rPr>
      <w:rFonts w:ascii="Times New Roman" w:eastAsia="SimSun" w:hAnsi="Times New Roman" w:cs="Courier New"/>
      <w:sz w:val="19"/>
      <w:szCs w:val="19"/>
      <w:lang w:val="en-US" w:eastAsia="en-US" w:bidi="ar-SA"/>
    </w:rPr>
  </w:style>
  <w:style w:type="character" w:customStyle="1" w:styleId="GENQNUM">
    <w:name w:val="GENQ_NUM"/>
    <w:rsid w:val="00BA476F"/>
    <w:rPr>
      <w:rFonts w:ascii="Times New Roman" w:hAnsi="Times New Roman"/>
      <w:b/>
      <w:sz w:val="19"/>
      <w:szCs w:val="19"/>
    </w:rPr>
  </w:style>
  <w:style w:type="character" w:customStyle="1" w:styleId="GENQTTL">
    <w:name w:val="GENQ_TTL"/>
    <w:rsid w:val="00BA476F"/>
    <w:rPr>
      <w:rFonts w:ascii="Times New Roman Bold" w:hAnsi="Times New Roman Bold"/>
      <w:b/>
      <w:smallCaps/>
      <w:sz w:val="19"/>
      <w:szCs w:val="19"/>
    </w:rPr>
  </w:style>
  <w:style w:type="paragraph" w:customStyle="1" w:styleId="GENQDMFIRST">
    <w:name w:val="GENQ_DM_FIRST"/>
    <w:rsid w:val="00BA476F"/>
    <w:pPr>
      <w:spacing w:before="60" w:line="230" w:lineRule="atLeast"/>
      <w:jc w:val="center"/>
    </w:pPr>
    <w:rPr>
      <w:rFonts w:ascii="Times New Roman" w:eastAsia="SimSun" w:hAnsi="Times New Roman" w:cs="Courier New"/>
      <w:sz w:val="19"/>
      <w:szCs w:val="19"/>
      <w:lang w:eastAsia="en-US"/>
    </w:rPr>
  </w:style>
  <w:style w:type="paragraph" w:customStyle="1" w:styleId="spacer">
    <w:name w:val="spacer"/>
    <w:rsid w:val="00BA476F"/>
    <w:pPr>
      <w:spacing w:before="120" w:after="120" w:line="20" w:lineRule="atLeast"/>
      <w:contextualSpacing/>
    </w:pPr>
    <w:rPr>
      <w:rFonts w:ascii="Arial" w:eastAsia="SimSun" w:hAnsi="Arial"/>
      <w:color w:val="000000"/>
      <w:sz w:val="2"/>
      <w:szCs w:val="44"/>
      <w:lang w:eastAsia="en-US"/>
    </w:rPr>
  </w:style>
  <w:style w:type="paragraph" w:customStyle="1" w:styleId="artlist">
    <w:name w:val="artlist"/>
    <w:rsid w:val="00BA476F"/>
    <w:pPr>
      <w:autoSpaceDE w:val="0"/>
      <w:autoSpaceDN w:val="0"/>
      <w:adjustRightInd w:val="0"/>
      <w:spacing w:line="20" w:lineRule="atLeast"/>
      <w:jc w:val="center"/>
    </w:pPr>
    <w:rPr>
      <w:rFonts w:ascii="Courier New" w:eastAsia="SimSun" w:hAnsi="Courier New" w:cs="Courier New"/>
      <w:color w:val="000000"/>
      <w:sz w:val="22"/>
      <w:szCs w:val="24"/>
      <w:lang w:eastAsia="en-US"/>
    </w:rPr>
  </w:style>
  <w:style w:type="paragraph" w:customStyle="1" w:styleId="FIGNUM">
    <w:name w:val="FIG_NUM"/>
    <w:rsid w:val="00BA476F"/>
    <w:pPr>
      <w:spacing w:line="230" w:lineRule="atLeast"/>
    </w:pPr>
    <w:rPr>
      <w:rFonts w:ascii="Times New Roman" w:eastAsia="SimSun" w:hAnsi="Times New Roman" w:cs="Courier New"/>
      <w:b/>
      <w:sz w:val="19"/>
      <w:szCs w:val="19"/>
      <w:lang w:eastAsia="en-US"/>
    </w:rPr>
  </w:style>
  <w:style w:type="paragraph" w:customStyle="1" w:styleId="GENQUNTBL">
    <w:name w:val="GENQ_UNTBL"/>
    <w:rsid w:val="00BA476F"/>
    <w:pPr>
      <w:spacing w:line="230" w:lineRule="atLeast"/>
    </w:pPr>
    <w:rPr>
      <w:rFonts w:ascii="Times New Roman" w:eastAsia="SimSun" w:hAnsi="Times New Roman" w:cs="Courier New"/>
      <w:color w:val="000000"/>
      <w:sz w:val="19"/>
      <w:szCs w:val="19"/>
      <w:lang w:eastAsia="en-US"/>
    </w:rPr>
  </w:style>
  <w:style w:type="character" w:styleId="LineNumber">
    <w:name w:val="line number"/>
    <w:basedOn w:val="DefaultParagraphFont"/>
    <w:rsid w:val="00BA4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Chia-Hung Chang</dc:creator>
  <cp:lastModifiedBy>Chia-Hung Vincent Chang</cp:lastModifiedBy>
  <cp:revision>3</cp:revision>
  <dcterms:created xsi:type="dcterms:W3CDTF">2024-05-13T10:31:00Z</dcterms:created>
  <dcterms:modified xsi:type="dcterms:W3CDTF">2025-05-05T11:02:00Z</dcterms:modified>
</cp:coreProperties>
</file>